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C0" w:rsidRDefault="00F806C0" w:rsidP="00F806C0">
      <w:r>
        <w:t>Dear &lt;Client&gt;</w:t>
      </w:r>
    </w:p>
    <w:p w:rsidR="00F806C0" w:rsidRDefault="00F806C0" w:rsidP="00F806C0"/>
    <w:p w:rsidR="00F806C0" w:rsidRDefault="00F806C0" w:rsidP="00F806C0">
      <w:r>
        <w:t>The</w:t>
      </w:r>
      <w:bookmarkStart w:id="0" w:name="_GoBack"/>
      <w:bookmarkEnd w:id="0"/>
      <w:r>
        <w:t xml:space="preserve"> past </w:t>
      </w:r>
      <w:r w:rsidR="004A4057">
        <w:t>four</w:t>
      </w:r>
      <w:r>
        <w:t xml:space="preserve"> decades have been kind to long term investors. This is a period where many share markets provided </w:t>
      </w:r>
      <w:r w:rsidR="00171F4C">
        <w:t xml:space="preserve">solid </w:t>
      </w:r>
      <w:r>
        <w:t xml:space="preserve">double digit </w:t>
      </w:r>
      <w:r w:rsidRPr="00F806C0">
        <w:t>average</w:t>
      </w:r>
      <w:r>
        <w:t xml:space="preserve"> </w:t>
      </w:r>
      <w:r w:rsidRPr="00F806C0">
        <w:t>annual</w:t>
      </w:r>
      <w:r>
        <w:t xml:space="preserve"> returns, despite the numerous recessions and crises throughout. </w:t>
      </w:r>
    </w:p>
    <w:p w:rsidR="00F806C0" w:rsidRDefault="00F806C0" w:rsidP="00F806C0"/>
    <w:p w:rsidR="00F806C0" w:rsidRDefault="00F806C0" w:rsidP="00F806C0">
      <w:r>
        <w:t>The question for investors is, “Is the future likely to offer the same returns as the past?”</w:t>
      </w:r>
    </w:p>
    <w:p w:rsidR="00F806C0" w:rsidRDefault="00F806C0" w:rsidP="00F806C0"/>
    <w:p w:rsidR="00F806C0" w:rsidRDefault="00171F4C" w:rsidP="00171F4C">
      <w:pPr>
        <w:spacing w:after="120"/>
      </w:pPr>
      <w:r w:rsidRPr="00171F4C">
        <w:t>To answer this question, you need to understand where investment returns come from in the first place. In the chart below, returns have been broken down into different return sources such as dividends, growth in company profits, inflation and valuation. Each has then been measured over the last 40, 30 and 20 years to show how they have changed. The chart shows that dividends and growth in profits have been fairly stable across the three time periods. However what has changed materially is inflation which has fallen from 4.7% (over 40 years) to 3.3% (over 30 years) and to 2.4% (over 20 years). Lower inflation alone has resulted in overall returns falling by around 2.3%.</w:t>
      </w:r>
    </w:p>
    <w:p w:rsidR="00F806C0" w:rsidRDefault="00171F4C" w:rsidP="00F806C0">
      <w:r w:rsidRPr="00171F4C">
        <w:drawing>
          <wp:inline distT="0" distB="0" distL="0" distR="0" wp14:anchorId="0FF79FF5" wp14:editId="29C036EC">
            <wp:extent cx="5731510" cy="2238106"/>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D3D68" w:rsidRPr="00457949" w:rsidRDefault="006D3D68" w:rsidP="006D3D68">
      <w:pPr>
        <w:spacing w:before="120"/>
        <w:rPr>
          <w:bCs/>
          <w:i/>
          <w:sz w:val="18"/>
        </w:rPr>
      </w:pPr>
      <w:r w:rsidRPr="00457949">
        <w:rPr>
          <w:bCs/>
          <w:i/>
          <w:sz w:val="18"/>
        </w:rPr>
        <w:t>Source: MSCI, ABS, Morningstar Investment Management</w:t>
      </w:r>
    </w:p>
    <w:p w:rsidR="00F806C0" w:rsidRDefault="00F806C0" w:rsidP="00F806C0">
      <w:pPr>
        <w:spacing w:before="120"/>
        <w:rPr>
          <w:b/>
          <w:bCs/>
        </w:rPr>
      </w:pPr>
      <w:r>
        <w:rPr>
          <w:b/>
          <w:bCs/>
        </w:rPr>
        <w:t xml:space="preserve">Inflation has since fallen in recent decades and so have total returns. </w:t>
      </w:r>
    </w:p>
    <w:p w:rsidR="00F806C0" w:rsidRDefault="00F806C0" w:rsidP="00F806C0">
      <w:pPr>
        <w:rPr>
          <w:b/>
          <w:bCs/>
        </w:rPr>
      </w:pPr>
    </w:p>
    <w:p w:rsidR="00F806C0" w:rsidRPr="00F806C0" w:rsidRDefault="00F806C0" w:rsidP="00F806C0">
      <w:r w:rsidRPr="00F806C0">
        <w:t xml:space="preserve">While short term inflation numbers are hard to predict, the recent commentary and cash rate moves by the Reserve Bank of Australia indicate that inflation concerns in the short to medium term seem to be on the downside. It seems unlikely in the foreseeable future that inflation will return to the levels we have seen over the past </w:t>
      </w:r>
      <w:r w:rsidR="00F463EB">
        <w:t xml:space="preserve">four decades. </w:t>
      </w:r>
      <w:r w:rsidR="00F463EB" w:rsidRPr="00F463EB">
        <w:t xml:space="preserve">Even if </w:t>
      </w:r>
      <w:r w:rsidR="00457949">
        <w:t>inflation</w:t>
      </w:r>
      <w:r w:rsidR="00F463EB" w:rsidRPr="00F463EB">
        <w:t xml:space="preserve"> rose substantially</w:t>
      </w:r>
      <w:r w:rsidR="00457949">
        <w:t>,</w:t>
      </w:r>
      <w:r w:rsidR="00F463EB" w:rsidRPr="00F463EB">
        <w:t xml:space="preserve"> share markets would likely be </w:t>
      </w:r>
      <w:r w:rsidR="00457949">
        <w:t>negatively</w:t>
      </w:r>
      <w:r w:rsidR="00F463EB" w:rsidRPr="00F463EB">
        <w:t xml:space="preserve"> impacted during any transition to </w:t>
      </w:r>
      <w:r w:rsidR="00457949">
        <w:t xml:space="preserve">a </w:t>
      </w:r>
      <w:r w:rsidR="00F463EB" w:rsidRPr="00F463EB">
        <w:t>high inflation</w:t>
      </w:r>
      <w:r w:rsidR="00457949">
        <w:t xml:space="preserve"> environment. This means that </w:t>
      </w:r>
      <w:r w:rsidR="00F463EB" w:rsidRPr="00F463EB">
        <w:t xml:space="preserve">total returns are likely to be lower going forward compared to the last 40 years.  </w:t>
      </w:r>
    </w:p>
    <w:p w:rsidR="00F806C0" w:rsidRDefault="00F806C0" w:rsidP="00F806C0">
      <w:pPr>
        <w:rPr>
          <w:b/>
          <w:bCs/>
        </w:rPr>
      </w:pPr>
    </w:p>
    <w:p w:rsidR="00F806C0" w:rsidRDefault="00F806C0" w:rsidP="00F806C0">
      <w:r>
        <w:t>With this is mind, I want to restate that a focus on returns above inflation and the cost of living (i.e. Real Return, or CPI+) over an investment timeframe remain more relevant to your financ</w:t>
      </w:r>
      <w:r w:rsidR="004A4057">
        <w:t xml:space="preserve">ial goals, which </w:t>
      </w:r>
      <w:r>
        <w:t xml:space="preserve">we </w:t>
      </w:r>
      <w:r w:rsidR="00E16458">
        <w:t xml:space="preserve">will work together to </w:t>
      </w:r>
      <w:r>
        <w:t xml:space="preserve">achieve. </w:t>
      </w:r>
    </w:p>
    <w:p w:rsidR="00F806C0" w:rsidRDefault="00F806C0" w:rsidP="00F806C0"/>
    <w:p w:rsidR="00F806C0" w:rsidRDefault="00F806C0" w:rsidP="00F806C0">
      <w:r>
        <w:t>Please let me know if you would like to discuss this in more detail.</w:t>
      </w:r>
    </w:p>
    <w:p w:rsidR="00F806C0" w:rsidRDefault="00F806C0" w:rsidP="00F806C0"/>
    <w:p w:rsidR="00F806C0" w:rsidRDefault="00F806C0" w:rsidP="00F806C0">
      <w:r>
        <w:t>Regards,</w:t>
      </w:r>
    </w:p>
    <w:p w:rsidR="00F806C0" w:rsidRDefault="00F806C0" w:rsidP="00F806C0"/>
    <w:p w:rsidR="00F806C0" w:rsidRDefault="00F806C0" w:rsidP="00F806C0">
      <w:r>
        <w:t>&lt;Adviser Email Signature&gt;</w:t>
      </w:r>
    </w:p>
    <w:p w:rsidR="008A44B3" w:rsidRPr="00F806C0" w:rsidRDefault="008A44B3" w:rsidP="00F806C0"/>
    <w:sectPr w:rsidR="008A44B3" w:rsidRPr="00F80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87B75"/>
    <w:multiLevelType w:val="hybridMultilevel"/>
    <w:tmpl w:val="33360F20"/>
    <w:lvl w:ilvl="0" w:tplc="94FAC506">
      <w:start w:val="1"/>
      <w:numFmt w:val="bullet"/>
      <w:lvlText w:val="•"/>
      <w:lvlJc w:val="left"/>
      <w:pPr>
        <w:tabs>
          <w:tab w:val="num" w:pos="720"/>
        </w:tabs>
        <w:ind w:left="720" w:hanging="360"/>
      </w:pPr>
      <w:rPr>
        <w:rFonts w:ascii="Arial" w:hAnsi="Arial" w:cs="Times New Roman" w:hint="default"/>
      </w:rPr>
    </w:lvl>
    <w:lvl w:ilvl="1" w:tplc="085C1F18">
      <w:start w:val="1"/>
      <w:numFmt w:val="bullet"/>
      <w:lvlText w:val="•"/>
      <w:lvlJc w:val="left"/>
      <w:pPr>
        <w:tabs>
          <w:tab w:val="num" w:pos="1440"/>
        </w:tabs>
        <w:ind w:left="1440" w:hanging="360"/>
      </w:pPr>
      <w:rPr>
        <w:rFonts w:ascii="Arial" w:hAnsi="Arial" w:cs="Times New Roman" w:hint="default"/>
      </w:rPr>
    </w:lvl>
    <w:lvl w:ilvl="2" w:tplc="51D48834">
      <w:start w:val="1"/>
      <w:numFmt w:val="bullet"/>
      <w:lvlText w:val="•"/>
      <w:lvlJc w:val="left"/>
      <w:pPr>
        <w:tabs>
          <w:tab w:val="num" w:pos="2160"/>
        </w:tabs>
        <w:ind w:left="2160" w:hanging="360"/>
      </w:pPr>
      <w:rPr>
        <w:rFonts w:ascii="Arial" w:hAnsi="Arial" w:cs="Times New Roman" w:hint="default"/>
      </w:rPr>
    </w:lvl>
    <w:lvl w:ilvl="3" w:tplc="9DA65A22">
      <w:start w:val="1"/>
      <w:numFmt w:val="bullet"/>
      <w:lvlText w:val="•"/>
      <w:lvlJc w:val="left"/>
      <w:pPr>
        <w:tabs>
          <w:tab w:val="num" w:pos="2880"/>
        </w:tabs>
        <w:ind w:left="2880" w:hanging="360"/>
      </w:pPr>
      <w:rPr>
        <w:rFonts w:ascii="Arial" w:hAnsi="Arial" w:cs="Times New Roman" w:hint="default"/>
      </w:rPr>
    </w:lvl>
    <w:lvl w:ilvl="4" w:tplc="36CA5970">
      <w:start w:val="1"/>
      <w:numFmt w:val="bullet"/>
      <w:lvlText w:val="•"/>
      <w:lvlJc w:val="left"/>
      <w:pPr>
        <w:tabs>
          <w:tab w:val="num" w:pos="3600"/>
        </w:tabs>
        <w:ind w:left="3600" w:hanging="360"/>
      </w:pPr>
      <w:rPr>
        <w:rFonts w:ascii="Arial" w:hAnsi="Arial" w:cs="Times New Roman" w:hint="default"/>
      </w:rPr>
    </w:lvl>
    <w:lvl w:ilvl="5" w:tplc="B3D0B1EE">
      <w:start w:val="1"/>
      <w:numFmt w:val="bullet"/>
      <w:lvlText w:val="•"/>
      <w:lvlJc w:val="left"/>
      <w:pPr>
        <w:tabs>
          <w:tab w:val="num" w:pos="4320"/>
        </w:tabs>
        <w:ind w:left="4320" w:hanging="360"/>
      </w:pPr>
      <w:rPr>
        <w:rFonts w:ascii="Arial" w:hAnsi="Arial" w:cs="Times New Roman" w:hint="default"/>
      </w:rPr>
    </w:lvl>
    <w:lvl w:ilvl="6" w:tplc="712AD7D8">
      <w:start w:val="1"/>
      <w:numFmt w:val="bullet"/>
      <w:lvlText w:val="•"/>
      <w:lvlJc w:val="left"/>
      <w:pPr>
        <w:tabs>
          <w:tab w:val="num" w:pos="5040"/>
        </w:tabs>
        <w:ind w:left="5040" w:hanging="360"/>
      </w:pPr>
      <w:rPr>
        <w:rFonts w:ascii="Arial" w:hAnsi="Arial" w:cs="Times New Roman" w:hint="default"/>
      </w:rPr>
    </w:lvl>
    <w:lvl w:ilvl="7" w:tplc="39723DD6">
      <w:start w:val="1"/>
      <w:numFmt w:val="bullet"/>
      <w:lvlText w:val="•"/>
      <w:lvlJc w:val="left"/>
      <w:pPr>
        <w:tabs>
          <w:tab w:val="num" w:pos="5760"/>
        </w:tabs>
        <w:ind w:left="5760" w:hanging="360"/>
      </w:pPr>
      <w:rPr>
        <w:rFonts w:ascii="Arial" w:hAnsi="Arial" w:cs="Times New Roman" w:hint="default"/>
      </w:rPr>
    </w:lvl>
    <w:lvl w:ilvl="8" w:tplc="96B64114">
      <w:start w:val="1"/>
      <w:numFmt w:val="bullet"/>
      <w:lvlText w:val="•"/>
      <w:lvlJc w:val="left"/>
      <w:pPr>
        <w:tabs>
          <w:tab w:val="num" w:pos="6480"/>
        </w:tabs>
        <w:ind w:left="6480" w:hanging="360"/>
      </w:pPr>
      <w:rPr>
        <w:rFonts w:ascii="Arial" w:hAnsi="Arial" w:cs="Times New Roman" w:hint="default"/>
      </w:rPr>
    </w:lvl>
  </w:abstractNum>
  <w:abstractNum w:abstractNumId="1">
    <w:nsid w:val="451613EF"/>
    <w:multiLevelType w:val="hybridMultilevel"/>
    <w:tmpl w:val="97AE5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41"/>
    <w:rsid w:val="00053805"/>
    <w:rsid w:val="00124046"/>
    <w:rsid w:val="00171F4C"/>
    <w:rsid w:val="001B2BFA"/>
    <w:rsid w:val="001E2A7D"/>
    <w:rsid w:val="00457949"/>
    <w:rsid w:val="004A4057"/>
    <w:rsid w:val="00500C98"/>
    <w:rsid w:val="00556C44"/>
    <w:rsid w:val="00586049"/>
    <w:rsid w:val="00607C71"/>
    <w:rsid w:val="006D3D68"/>
    <w:rsid w:val="007D0032"/>
    <w:rsid w:val="00813878"/>
    <w:rsid w:val="008A44B3"/>
    <w:rsid w:val="009E7041"/>
    <w:rsid w:val="00C47A96"/>
    <w:rsid w:val="00E16458"/>
    <w:rsid w:val="00E71CFA"/>
    <w:rsid w:val="00EF44BF"/>
    <w:rsid w:val="00F463EB"/>
    <w:rsid w:val="00F80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FA"/>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32"/>
    <w:pPr>
      <w:ind w:left="720"/>
    </w:pPr>
    <w:rPr>
      <w:rFonts w:ascii="Calibri" w:hAnsi="Calibri" w:cs="Times New Roman"/>
    </w:rPr>
  </w:style>
  <w:style w:type="paragraph" w:styleId="BalloonText">
    <w:name w:val="Balloon Text"/>
    <w:basedOn w:val="Normal"/>
    <w:link w:val="BalloonTextChar"/>
    <w:uiPriority w:val="99"/>
    <w:semiHidden/>
    <w:unhideWhenUsed/>
    <w:rsid w:val="00F806C0"/>
    <w:rPr>
      <w:rFonts w:ascii="Tahoma" w:hAnsi="Tahoma" w:cs="Tahoma"/>
      <w:sz w:val="16"/>
      <w:szCs w:val="16"/>
    </w:rPr>
  </w:style>
  <w:style w:type="character" w:customStyle="1" w:styleId="BalloonTextChar">
    <w:name w:val="Balloon Text Char"/>
    <w:basedOn w:val="DefaultParagraphFont"/>
    <w:link w:val="BalloonText"/>
    <w:uiPriority w:val="99"/>
    <w:semiHidden/>
    <w:rsid w:val="00F80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FA"/>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32"/>
    <w:pPr>
      <w:ind w:left="720"/>
    </w:pPr>
    <w:rPr>
      <w:rFonts w:ascii="Calibri" w:hAnsi="Calibri" w:cs="Times New Roman"/>
    </w:rPr>
  </w:style>
  <w:style w:type="paragraph" w:styleId="BalloonText">
    <w:name w:val="Balloon Text"/>
    <w:basedOn w:val="Normal"/>
    <w:link w:val="BalloonTextChar"/>
    <w:uiPriority w:val="99"/>
    <w:semiHidden/>
    <w:unhideWhenUsed/>
    <w:rsid w:val="00F806C0"/>
    <w:rPr>
      <w:rFonts w:ascii="Tahoma" w:hAnsi="Tahoma" w:cs="Tahoma"/>
      <w:sz w:val="16"/>
      <w:szCs w:val="16"/>
    </w:rPr>
  </w:style>
  <w:style w:type="character" w:customStyle="1" w:styleId="BalloonTextChar">
    <w:name w:val="Balloon Text Char"/>
    <w:basedOn w:val="DefaultParagraphFont"/>
    <w:link w:val="BalloonText"/>
    <w:uiPriority w:val="99"/>
    <w:semiHidden/>
    <w:rsid w:val="00F80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7344">
      <w:bodyDiv w:val="1"/>
      <w:marLeft w:val="0"/>
      <w:marRight w:val="0"/>
      <w:marTop w:val="0"/>
      <w:marBottom w:val="0"/>
      <w:divBdr>
        <w:top w:val="none" w:sz="0" w:space="0" w:color="auto"/>
        <w:left w:val="none" w:sz="0" w:space="0" w:color="auto"/>
        <w:bottom w:val="none" w:sz="0" w:space="0" w:color="auto"/>
        <w:right w:val="none" w:sz="0" w:space="0" w:color="auto"/>
      </w:divBdr>
    </w:div>
    <w:div w:id="331107397">
      <w:bodyDiv w:val="1"/>
      <w:marLeft w:val="0"/>
      <w:marRight w:val="0"/>
      <w:marTop w:val="0"/>
      <w:marBottom w:val="0"/>
      <w:divBdr>
        <w:top w:val="none" w:sz="0" w:space="0" w:color="auto"/>
        <w:left w:val="none" w:sz="0" w:space="0" w:color="auto"/>
        <w:bottom w:val="none" w:sz="0" w:space="0" w:color="auto"/>
        <w:right w:val="none" w:sz="0" w:space="0" w:color="auto"/>
      </w:divBdr>
    </w:div>
    <w:div w:id="394662920">
      <w:bodyDiv w:val="1"/>
      <w:marLeft w:val="0"/>
      <w:marRight w:val="0"/>
      <w:marTop w:val="0"/>
      <w:marBottom w:val="0"/>
      <w:divBdr>
        <w:top w:val="none" w:sz="0" w:space="0" w:color="auto"/>
        <w:left w:val="none" w:sz="0" w:space="0" w:color="auto"/>
        <w:bottom w:val="none" w:sz="0" w:space="0" w:color="auto"/>
        <w:right w:val="none" w:sz="0" w:space="0" w:color="auto"/>
      </w:divBdr>
    </w:div>
    <w:div w:id="20240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aufs61\Individual\Morningstar.com.au\Public\Video_MCA\Mstar%20Video%20Drafts\Ibbotson%20Roadshow%202016\James%20Foot\Chart%20in%20Microsoft%20PowerPoi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000"/>
              <a:t>Breakdown</a:t>
            </a:r>
            <a:r>
              <a:rPr lang="en-AU" sz="1000" baseline="0"/>
              <a:t> of Australian share returns over different time periods</a:t>
            </a:r>
            <a:endParaRPr lang="en-AU" sz="1000"/>
          </a:p>
        </c:rich>
      </c:tx>
      <c:layout/>
      <c:overlay val="0"/>
    </c:title>
    <c:autoTitleDeleted val="0"/>
    <c:plotArea>
      <c:layout>
        <c:manualLayout>
          <c:layoutTarget val="inner"/>
          <c:xMode val="edge"/>
          <c:yMode val="edge"/>
          <c:x val="9.1623527476819969E-2"/>
          <c:y val="0.24311850349012842"/>
          <c:w val="0.87789168420643182"/>
          <c:h val="0.64046866901615851"/>
        </c:manualLayout>
      </c:layout>
      <c:barChart>
        <c:barDir val="col"/>
        <c:grouping val="stacked"/>
        <c:varyColors val="0"/>
        <c:ser>
          <c:idx val="1"/>
          <c:order val="0"/>
          <c:tx>
            <c:strRef>
              <c:f>'Quarterly (3)'!$B$204</c:f>
              <c:strCache>
                <c:ptCount val="1"/>
                <c:pt idx="0">
                  <c:v>Change in Valuation</c:v>
                </c:pt>
              </c:strCache>
            </c:strRef>
          </c:tx>
          <c:spPr>
            <a:solidFill>
              <a:schemeClr val="bg1">
                <a:lumMod val="75000"/>
              </a:schemeClr>
            </a:solidFill>
          </c:spPr>
          <c:invertIfNegative val="0"/>
          <c:dLbls>
            <c:numFmt formatCode="0.0%" sourceLinked="0"/>
            <c:txPr>
              <a:bodyPr/>
              <a:lstStyle/>
              <a:p>
                <a:pPr>
                  <a:defRPr sz="800">
                    <a:latin typeface="+mn-lt"/>
                  </a:defRPr>
                </a:pPr>
                <a:endParaRPr lang="en-US"/>
              </a:p>
            </c:txPr>
            <c:dLblPos val="ctr"/>
            <c:showLegendKey val="0"/>
            <c:showVal val="1"/>
            <c:showCatName val="0"/>
            <c:showSerName val="0"/>
            <c:showPercent val="0"/>
            <c:showBubbleSize val="0"/>
            <c:showLeaderLines val="0"/>
          </c:dLbls>
          <c:val>
            <c:numRef>
              <c:f>'Quarterly (3)'!$C$204:$E$204</c:f>
              <c:numCache>
                <c:formatCode>0.0%</c:formatCode>
                <c:ptCount val="3"/>
                <c:pt idx="0" formatCode="0.00%">
                  <c:v>7.5162239197630962E-3</c:v>
                </c:pt>
                <c:pt idx="1">
                  <c:v>1.062501628547473E-2</c:v>
                </c:pt>
                <c:pt idx="2">
                  <c:v>-6.0200408968493608E-4</c:v>
                </c:pt>
              </c:numCache>
            </c:numRef>
          </c:val>
        </c:ser>
        <c:ser>
          <c:idx val="2"/>
          <c:order val="1"/>
          <c:tx>
            <c:strRef>
              <c:f>'Quarterly (3)'!$B$205</c:f>
              <c:strCache>
                <c:ptCount val="1"/>
                <c:pt idx="0">
                  <c:v>Growth in Company Profits</c:v>
                </c:pt>
              </c:strCache>
            </c:strRef>
          </c:tx>
          <c:spPr>
            <a:solidFill>
              <a:schemeClr val="tx1">
                <a:lumMod val="20000"/>
                <a:lumOff val="80000"/>
              </a:schemeClr>
            </a:solidFill>
          </c:spPr>
          <c:invertIfNegative val="0"/>
          <c:dLbls>
            <c:dLbl>
              <c:idx val="0"/>
              <c:numFmt formatCode="0.0%" sourceLinked="0"/>
              <c:spPr/>
              <c:txPr>
                <a:bodyPr/>
                <a:lstStyle/>
                <a:p>
                  <a:pPr>
                    <a:defRPr sz="800">
                      <a:latin typeface="+mn-lt"/>
                    </a:defRPr>
                  </a:pPr>
                  <a:endParaRPr lang="en-US"/>
                </a:p>
              </c:txPr>
              <c:dLblPos val="ctr"/>
              <c:showLegendKey val="0"/>
              <c:showVal val="1"/>
              <c:showCatName val="0"/>
              <c:showSerName val="0"/>
              <c:showPercent val="0"/>
              <c:showBubbleSize val="0"/>
            </c:dLbl>
            <c:numFmt formatCode="0.0%" sourceLinked="0"/>
            <c:txPr>
              <a:bodyPr/>
              <a:lstStyle/>
              <a:p>
                <a:pPr>
                  <a:defRPr sz="800">
                    <a:latin typeface="+mn-lt"/>
                  </a:defRPr>
                </a:pPr>
                <a:endParaRPr lang="en-US"/>
              </a:p>
            </c:txPr>
            <c:dLblPos val="ctr"/>
            <c:showLegendKey val="0"/>
            <c:showVal val="1"/>
            <c:showCatName val="0"/>
            <c:showSerName val="0"/>
            <c:showPercent val="0"/>
            <c:showBubbleSize val="0"/>
            <c:showLeaderLines val="0"/>
          </c:dLbls>
          <c:val>
            <c:numRef>
              <c:f>'Quarterly (3)'!$C$205:$E$205</c:f>
              <c:numCache>
                <c:formatCode>0.0%</c:formatCode>
                <c:ptCount val="3"/>
                <c:pt idx="0" formatCode="0.00%">
                  <c:v>1.8519380770335894E-2</c:v>
                </c:pt>
                <c:pt idx="1">
                  <c:v>1.5521074840409229E-2</c:v>
                </c:pt>
                <c:pt idx="2">
                  <c:v>1.9016561243865745E-2</c:v>
                </c:pt>
              </c:numCache>
            </c:numRef>
          </c:val>
        </c:ser>
        <c:ser>
          <c:idx val="0"/>
          <c:order val="2"/>
          <c:tx>
            <c:strRef>
              <c:f>'Quarterly (3)'!$B$203</c:f>
              <c:strCache>
                <c:ptCount val="1"/>
                <c:pt idx="0">
                  <c:v>Dividends</c:v>
                </c:pt>
              </c:strCache>
            </c:strRef>
          </c:tx>
          <c:spPr>
            <a:solidFill>
              <a:schemeClr val="bg1">
                <a:lumMod val="95000"/>
              </a:schemeClr>
            </a:solidFill>
          </c:spPr>
          <c:invertIfNegative val="0"/>
          <c:dLbls>
            <c:numFmt formatCode="0.0%" sourceLinked="0"/>
            <c:txPr>
              <a:bodyPr/>
              <a:lstStyle/>
              <a:p>
                <a:pPr>
                  <a:defRPr sz="800">
                    <a:latin typeface="+mn-lt"/>
                  </a:defRPr>
                </a:pPr>
                <a:endParaRPr lang="en-US"/>
              </a:p>
            </c:txPr>
            <c:dLblPos val="ctr"/>
            <c:showLegendKey val="0"/>
            <c:showVal val="1"/>
            <c:showCatName val="0"/>
            <c:showSerName val="0"/>
            <c:showPercent val="0"/>
            <c:showBubbleSize val="0"/>
            <c:showLeaderLines val="0"/>
          </c:dLbls>
          <c:val>
            <c:numRef>
              <c:f>'Quarterly (3)'!$C$203:$E$203</c:f>
              <c:numCache>
                <c:formatCode>0.0%</c:formatCode>
                <c:ptCount val="3"/>
                <c:pt idx="0" formatCode="0.00%">
                  <c:v>4.3084687180545478E-2</c:v>
                </c:pt>
                <c:pt idx="1">
                  <c:v>4.1847475587736715E-2</c:v>
                </c:pt>
                <c:pt idx="2">
                  <c:v>4.1368961359976586E-2</c:v>
                </c:pt>
              </c:numCache>
            </c:numRef>
          </c:val>
        </c:ser>
        <c:ser>
          <c:idx val="3"/>
          <c:order val="3"/>
          <c:tx>
            <c:strRef>
              <c:f>'Quarterly (3)'!$B$207</c:f>
              <c:strCache>
                <c:ptCount val="1"/>
                <c:pt idx="0">
                  <c:v>Inflation</c:v>
                </c:pt>
              </c:strCache>
            </c:strRef>
          </c:tx>
          <c:spPr>
            <a:solidFill>
              <a:srgbClr val="F1AD02"/>
            </a:solidFill>
            <a:ln w="19050">
              <a:solidFill>
                <a:srgbClr val="E96610"/>
              </a:solidFill>
            </a:ln>
          </c:spPr>
          <c:invertIfNegative val="0"/>
          <c:dLbls>
            <c:numFmt formatCode="0.0%" sourceLinked="0"/>
            <c:txPr>
              <a:bodyPr/>
              <a:lstStyle/>
              <a:p>
                <a:pPr>
                  <a:defRPr sz="1000" b="1">
                    <a:latin typeface="+mn-lt"/>
                  </a:defRPr>
                </a:pPr>
                <a:endParaRPr lang="en-US"/>
              </a:p>
            </c:txPr>
            <c:showLegendKey val="0"/>
            <c:showVal val="1"/>
            <c:showCatName val="0"/>
            <c:showSerName val="0"/>
            <c:showPercent val="0"/>
            <c:showBubbleSize val="0"/>
            <c:showLeaderLines val="0"/>
          </c:dLbls>
          <c:cat>
            <c:strRef>
              <c:f>'Quarterly (3)'!$C$201:$F$201</c:f>
              <c:strCache>
                <c:ptCount val="4"/>
                <c:pt idx="0">
                  <c:v>1975 - 2015</c:v>
                </c:pt>
                <c:pt idx="1">
                  <c:v>1985 - 2015</c:v>
                </c:pt>
                <c:pt idx="2">
                  <c:v>1995 - 2015</c:v>
                </c:pt>
                <c:pt idx="3">
                  <c:v>2005 - 2015</c:v>
                </c:pt>
              </c:strCache>
            </c:strRef>
          </c:cat>
          <c:val>
            <c:numRef>
              <c:f>'Quarterly (3)'!$C$207:$E$207</c:f>
              <c:numCache>
                <c:formatCode>0.0%</c:formatCode>
                <c:ptCount val="3"/>
                <c:pt idx="0" formatCode="0.00%">
                  <c:v>4.7357858357512564E-2</c:v>
                </c:pt>
                <c:pt idx="1">
                  <c:v>3.2892845895853763E-2</c:v>
                </c:pt>
                <c:pt idx="2">
                  <c:v>2.4420966529105938E-2</c:v>
                </c:pt>
              </c:numCache>
            </c:numRef>
          </c:val>
        </c:ser>
        <c:dLbls>
          <c:showLegendKey val="0"/>
          <c:showVal val="0"/>
          <c:showCatName val="0"/>
          <c:showSerName val="0"/>
          <c:showPercent val="0"/>
          <c:showBubbleSize val="0"/>
        </c:dLbls>
        <c:gapWidth val="150"/>
        <c:overlap val="100"/>
        <c:axId val="96071040"/>
        <c:axId val="98899072"/>
      </c:barChart>
      <c:catAx>
        <c:axId val="96071040"/>
        <c:scaling>
          <c:orientation val="minMax"/>
        </c:scaling>
        <c:delete val="0"/>
        <c:axPos val="b"/>
        <c:numFmt formatCode="yyyy\-mmm" sourceLinked="1"/>
        <c:majorTickMark val="none"/>
        <c:minorTickMark val="none"/>
        <c:tickLblPos val="low"/>
        <c:spPr>
          <a:ln w="3175">
            <a:solidFill>
              <a:srgbClr val="000000"/>
            </a:solidFill>
            <a:prstDash val="solid"/>
          </a:ln>
        </c:spPr>
        <c:txPr>
          <a:bodyPr/>
          <a:lstStyle/>
          <a:p>
            <a:pPr>
              <a:defRPr sz="900">
                <a:latin typeface="+mn-lt"/>
                <a:ea typeface="UniversNext for MORNPC Cn"/>
                <a:cs typeface="UniversNext for MORNPC Cn"/>
              </a:defRPr>
            </a:pPr>
            <a:endParaRPr lang="en-US"/>
          </a:p>
        </c:txPr>
        <c:crossAx val="98899072"/>
        <c:crosses val="autoZero"/>
        <c:auto val="1"/>
        <c:lblAlgn val="ctr"/>
        <c:lblOffset val="100"/>
        <c:noMultiLvlLbl val="0"/>
      </c:catAx>
      <c:valAx>
        <c:axId val="98899072"/>
        <c:scaling>
          <c:orientation val="minMax"/>
          <c:max val="0.12000000000000001"/>
          <c:min val="-2.0000000000000004E-2"/>
        </c:scaling>
        <c:delete val="0"/>
        <c:axPos val="l"/>
        <c:majorGridlines>
          <c:spPr>
            <a:ln w="3175">
              <a:solidFill>
                <a:srgbClr val="D9D9D9"/>
              </a:solidFill>
              <a:prstDash val="lgDash"/>
            </a:ln>
          </c:spPr>
        </c:majorGridlines>
        <c:numFmt formatCode="0%" sourceLinked="0"/>
        <c:majorTickMark val="out"/>
        <c:minorTickMark val="none"/>
        <c:tickLblPos val="nextTo"/>
        <c:spPr>
          <a:ln w="9525">
            <a:noFill/>
          </a:ln>
        </c:spPr>
        <c:txPr>
          <a:bodyPr/>
          <a:lstStyle/>
          <a:p>
            <a:pPr>
              <a:defRPr sz="800">
                <a:latin typeface="+mn-lt"/>
                <a:ea typeface="UniversNext for MORNPC Cn"/>
                <a:cs typeface="UniversNext for MORNPC Cn"/>
              </a:defRPr>
            </a:pPr>
            <a:endParaRPr lang="en-US"/>
          </a:p>
        </c:txPr>
        <c:crossAx val="96071040"/>
        <c:crosses val="autoZero"/>
        <c:crossBetween val="between"/>
      </c:valAx>
      <c:spPr>
        <a:solidFill>
          <a:srgbClr val="FFFFFF"/>
        </a:solidFill>
        <a:ln w="25400">
          <a:noFill/>
        </a:ln>
      </c:spPr>
    </c:plotArea>
    <c:legend>
      <c:legendPos val="b"/>
      <c:layout>
        <c:manualLayout>
          <c:xMode val="edge"/>
          <c:yMode val="edge"/>
          <c:x val="0.17802776085902264"/>
          <c:y val="0.12671802801040336"/>
          <c:w val="0.70281802737038157"/>
          <c:h val="9.592246497917413E-2"/>
        </c:manualLayout>
      </c:layout>
      <c:overlay val="0"/>
      <c:txPr>
        <a:bodyPr/>
        <a:lstStyle/>
        <a:p>
          <a:pPr>
            <a:defRPr sz="900">
              <a:latin typeface="+mn-lt"/>
              <a:ea typeface="UniversNext for MORNPC Cn"/>
              <a:cs typeface="UniversNext for MORNPC Cn"/>
            </a:defRPr>
          </a:pPr>
          <a:endParaRPr lang="en-US"/>
        </a:p>
      </c:txPr>
    </c:legend>
    <c:plotVisOnly val="1"/>
    <c:dispBlanksAs val="gap"/>
    <c:showDLblsOverMax val="0"/>
  </c:chart>
  <c:spPr>
    <a:solidFill>
      <a:srgbClr val="FFFFFF"/>
    </a:solidFill>
    <a:ln w="9525">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Kwok</dc:creator>
  <cp:lastModifiedBy>Morningstar</cp:lastModifiedBy>
  <cp:revision>5</cp:revision>
  <dcterms:created xsi:type="dcterms:W3CDTF">2016-05-25T03:06:00Z</dcterms:created>
  <dcterms:modified xsi:type="dcterms:W3CDTF">2016-05-30T07:49:00Z</dcterms:modified>
</cp:coreProperties>
</file>